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1FC" w:rsidRDefault="000641FC">
      <w:pPr>
        <w:jc w:val="right"/>
      </w:pPr>
    </w:p>
    <w:tbl>
      <w:tblPr>
        <w:tblW w:w="5000" w:type="pct"/>
        <w:tblInd w:w="10" w:type="dxa"/>
        <w:tblBorders>
          <w:top w:val="single" w:sz="1" w:space="0" w:color="D5D5D5"/>
          <w:bottom w:val="single" w:sz="1" w:space="0" w:color="D5D5D5"/>
        </w:tblBorders>
        <w:shd w:val="clear" w:color="auto" w:fill="EFEFEF"/>
        <w:tblCellMar>
          <w:top w:w="100" w:type="dxa"/>
          <w:left w:w="10" w:type="dxa"/>
          <w:right w:w="10" w:type="dxa"/>
        </w:tblCellMar>
        <w:tblLook w:val="0000" w:firstRow="0" w:lastRow="0" w:firstColumn="0" w:lastColumn="0" w:noHBand="0" w:noVBand="0"/>
      </w:tblPr>
      <w:tblGrid>
        <w:gridCol w:w="7685"/>
        <w:gridCol w:w="1921"/>
      </w:tblGrid>
      <w:tr w:rsidR="000641FC">
        <w:tblPrEx>
          <w:tblCellMar>
            <w:bottom w:w="0" w:type="dxa"/>
          </w:tblCellMar>
        </w:tblPrEx>
        <w:tc>
          <w:tcPr>
            <w:tcW w:w="0" w:type="auto"/>
            <w:shd w:val="clear" w:color="auto" w:fill="EFEFEF"/>
          </w:tcPr>
          <w:p w:rsidR="000641FC" w:rsidRDefault="00CB26B0">
            <w:pPr>
              <w:spacing w:after="0"/>
            </w:pPr>
            <w:r>
              <w:rPr>
                <w:rFonts w:ascii="Lato Black"/>
                <w:b/>
              </w:rPr>
              <w:t>Policy 203: Board of Directors' Conflict of Interest</w:t>
            </w:r>
          </w:p>
        </w:tc>
        <w:tc>
          <w:tcPr>
            <w:tcW w:w="1000" w:type="pct"/>
            <w:shd w:val="clear" w:color="auto" w:fill="EFEFEF"/>
          </w:tcPr>
          <w:p w:rsidR="000641FC" w:rsidRDefault="00CB26B0">
            <w:r>
              <w:rPr>
                <w:rFonts w:ascii="Lato Black"/>
                <w:b/>
              </w:rPr>
              <w:t xml:space="preserve">Status: </w:t>
            </w:r>
            <w:r>
              <w:rPr>
                <w:rFonts w:ascii="Lato"/>
              </w:rPr>
              <w:t>ADOPTED</w:t>
            </w:r>
          </w:p>
        </w:tc>
      </w:tr>
      <w:tr w:rsidR="000641FC">
        <w:tblPrEx>
          <w:tblCellMar>
            <w:bottom w:w="0" w:type="dxa"/>
          </w:tblCellMar>
        </w:tblPrEx>
        <w:tc>
          <w:tcPr>
            <w:tcW w:w="0" w:type="auto"/>
            <w:shd w:val="clear" w:color="auto" w:fill="EFEFEF"/>
          </w:tcPr>
          <w:p w:rsidR="000641FC" w:rsidRDefault="00CB26B0">
            <w:r>
              <w:rPr>
                <w:rFonts w:ascii="Lato Black"/>
                <w:b/>
                <w:sz w:val="18"/>
              </w:rPr>
              <w:t xml:space="preserve">Original Adopted Date: </w:t>
            </w:r>
            <w:r>
              <w:rPr>
                <w:rFonts w:ascii="Lato"/>
                <w:sz w:val="18"/>
              </w:rPr>
              <w:t>03/08/2022</w:t>
            </w:r>
            <w:r>
              <w:rPr>
                <w:rFonts w:ascii="Lato Black"/>
                <w:b/>
                <w:sz w:val="18"/>
              </w:rPr>
              <w:t xml:space="preserve"> | Last Revised Date: </w:t>
            </w:r>
            <w:r>
              <w:rPr>
                <w:rFonts w:ascii="Lato"/>
                <w:sz w:val="18"/>
              </w:rPr>
              <w:t>06/23/2022</w:t>
            </w:r>
            <w:r>
              <w:rPr>
                <w:rFonts w:ascii="Lato Black"/>
                <w:b/>
                <w:sz w:val="18"/>
              </w:rPr>
              <w:t xml:space="preserve"> | Last Reviewed Date: </w:t>
            </w:r>
            <w:r>
              <w:rPr>
                <w:rFonts w:ascii="Lato"/>
                <w:sz w:val="18"/>
              </w:rPr>
              <w:t>06/23/2022</w:t>
            </w:r>
          </w:p>
        </w:tc>
        <w:tc>
          <w:tcPr>
            <w:tcW w:w="0" w:type="auto"/>
            <w:shd w:val="clear" w:color="auto" w:fill="EFEFEF"/>
          </w:tcPr>
          <w:p w:rsidR="000641FC" w:rsidRDefault="000641FC">
            <w:pPr>
              <w:spacing w:after="0"/>
            </w:pPr>
          </w:p>
        </w:tc>
      </w:tr>
    </w:tbl>
    <w:p w:rsidR="000641FC" w:rsidRDefault="000641FC">
      <w:pPr>
        <w:spacing w:after="30"/>
        <w:jc w:val="right"/>
      </w:pPr>
    </w:p>
    <w:p w:rsidR="00000000" w:rsidRDefault="002A21E4">
      <w:pPr>
        <w:divId w:val="163016923"/>
        <w:rPr>
          <w:rFonts w:ascii="Lato" w:eastAsia="Times New Roman" w:hAnsi="Lato"/>
        </w:rPr>
      </w:pPr>
      <w:r>
        <w:rPr>
          <w:rFonts w:ascii="Lato" w:eastAsia="Times New Roman" w:hAnsi="Lato"/>
        </w:rPr>
        <w:t xml:space="preserve">Tri-County </w:t>
      </w:r>
      <w:bookmarkStart w:id="0" w:name="_GoBack"/>
      <w:bookmarkEnd w:id="0"/>
      <w:r w:rsidR="00CB26B0">
        <w:rPr>
          <w:rFonts w:ascii="Lato" w:eastAsia="Times New Roman" w:hAnsi="Lato"/>
        </w:rPr>
        <w:t>Board members must be able to make decisions objectively.  </w:t>
      </w:r>
      <w:r w:rsidR="00CB26B0">
        <w:rPr>
          <w:rFonts w:ascii="Lato" w:eastAsia="Times New Roman" w:hAnsi="Lato"/>
        </w:rPr>
        <w:t>It is a conflict of interest for a board member to receive direct compensation from the school district, unless exempted in law or policy, for anything other than reimbursement of actual and necessary expenses, including travel, incurred in the performance</w:t>
      </w:r>
      <w:r w:rsidR="00CB26B0">
        <w:rPr>
          <w:rFonts w:ascii="Lato" w:eastAsia="Times New Roman" w:hAnsi="Lato"/>
        </w:rPr>
        <w:t xml:space="preserve"> of official duties.  A board member will not act as an agent for school textbooks or school supplies including sports apparel or equipment, in any transaction with a director, officer, or other staff member of the school district during the board member’s</w:t>
      </w:r>
      <w:r w:rsidR="00CB26B0">
        <w:rPr>
          <w:rFonts w:ascii="Lato" w:eastAsia="Times New Roman" w:hAnsi="Lato"/>
        </w:rPr>
        <w:t xml:space="preserve"> term of office.  It will not be a conflict of interest for board members to receive compensation from the school district for contracts for the purchase of goods or services which benefits a board member, or to compensation for part-time or temporary empl</w:t>
      </w:r>
      <w:r w:rsidR="00CB26B0">
        <w:rPr>
          <w:rFonts w:ascii="Lato" w:eastAsia="Times New Roman" w:hAnsi="Lato"/>
        </w:rPr>
        <w:t xml:space="preserve">oyment which benefits a board member, if the benefit to the board member does not exceed </w:t>
      </w:r>
      <w:r w:rsidR="00CB26B0">
        <w:rPr>
          <w:rStyle w:val="Emphasis"/>
          <w:rFonts w:ascii="Lato" w:eastAsia="Times New Roman" w:hAnsi="Lato"/>
        </w:rPr>
        <w:t>insert amount up to $20,000]</w:t>
      </w:r>
      <w:r w:rsidR="00CB26B0">
        <w:rPr>
          <w:rFonts w:ascii="Lato" w:eastAsia="Times New Roman" w:hAnsi="Lato"/>
        </w:rPr>
        <w:t> in a fiscal year or if the contracts are made by the board, upon competitive bid in writing, publicly invited and opened. </w:t>
      </w:r>
      <w:r w:rsidR="00CB26B0">
        <w:rPr>
          <w:rFonts w:ascii="Lato" w:eastAsia="Times New Roman" w:hAnsi="Lato"/>
        </w:rPr>
        <w:br/>
      </w:r>
      <w:r w:rsidR="00CB26B0">
        <w:rPr>
          <w:rFonts w:ascii="Lato" w:eastAsia="Times New Roman" w:hAnsi="Lato"/>
        </w:rPr>
        <w:br/>
        <w:t>The conflict o</w:t>
      </w:r>
      <w:r w:rsidR="00CB26B0">
        <w:rPr>
          <w:rFonts w:ascii="Lato" w:eastAsia="Times New Roman" w:hAnsi="Lato"/>
        </w:rPr>
        <w:t xml:space="preserve">f interest provisions do not apply to a contract that is a bond, note or other obligation of a school corporation if the contract is not acquired directly from the school corporation, but is acquired in a transaction with a third party, who may or may not </w:t>
      </w:r>
      <w:r w:rsidR="00CB26B0">
        <w:rPr>
          <w:rFonts w:ascii="Lato" w:eastAsia="Times New Roman" w:hAnsi="Lato"/>
        </w:rPr>
        <w:t xml:space="preserve">be the original underwriter, purchaser, or </w:t>
      </w:r>
      <w:proofErr w:type="spellStart"/>
      <w:r w:rsidR="00CB26B0">
        <w:rPr>
          <w:rFonts w:ascii="Lato" w:eastAsia="Times New Roman" w:hAnsi="Lato"/>
        </w:rPr>
        <w:t>obligee</w:t>
      </w:r>
      <w:proofErr w:type="spellEnd"/>
      <w:r w:rsidR="00CB26B0">
        <w:rPr>
          <w:rFonts w:ascii="Lato" w:eastAsia="Times New Roman" w:hAnsi="Lato"/>
        </w:rPr>
        <w:t xml:space="preserve"> of the contract, or to a contract in which a director has an interest solely by reason of employment if the contract was made by competitive bid, in writing, publicly invited and opened, or if the remunera</w:t>
      </w:r>
      <w:r w:rsidR="00CB26B0">
        <w:rPr>
          <w:rFonts w:ascii="Lato" w:eastAsia="Times New Roman" w:hAnsi="Lato"/>
        </w:rPr>
        <w:t>tion for employment will not be directly affected as a result of the contract and duties of employment do not involve any of the preparation or procurement of any part of the contract.  The competitive bid section of the conflict of interest provision does</w:t>
      </w:r>
      <w:r w:rsidR="00CB26B0">
        <w:rPr>
          <w:rFonts w:ascii="Lato" w:eastAsia="Times New Roman" w:hAnsi="Lato"/>
        </w:rPr>
        <w:t xml:space="preserve"> not apply to a contract for professional services not customarily awarded by competitive bid.</w:t>
      </w:r>
      <w:r w:rsidR="00CB26B0">
        <w:rPr>
          <w:rFonts w:ascii="Lato" w:eastAsia="Times New Roman" w:hAnsi="Lato"/>
        </w:rPr>
        <w:br/>
      </w:r>
      <w:r w:rsidR="00CB26B0">
        <w:rPr>
          <w:rFonts w:ascii="Lato" w:eastAsia="Times New Roman" w:hAnsi="Lato"/>
        </w:rPr>
        <w:br/>
        <w:t xml:space="preserve">It will also be a conflict of interest for a board member to engage in any outside employment or activity which is in conflict with the board member’s official </w:t>
      </w:r>
      <w:r w:rsidR="00CB26B0">
        <w:rPr>
          <w:rFonts w:ascii="Lato" w:eastAsia="Times New Roman" w:hAnsi="Lato"/>
        </w:rPr>
        <w:t>duties and responsibilities.  In determining whether outside employment or activity of a board member creates a conflict of interest, situations in which an unacceptable conflict of interest is deemed to exist includes, but are not limited to, any of the f</w:t>
      </w:r>
      <w:r w:rsidR="00CB26B0">
        <w:rPr>
          <w:rFonts w:ascii="Lato" w:eastAsia="Times New Roman" w:hAnsi="Lato"/>
        </w:rPr>
        <w:t xml:space="preserve">ollowing: </w:t>
      </w:r>
    </w:p>
    <w:p w:rsidR="00000000" w:rsidRDefault="00CB26B0">
      <w:pPr>
        <w:numPr>
          <w:ilvl w:val="0"/>
          <w:numId w:val="1"/>
        </w:numPr>
        <w:spacing w:before="100" w:beforeAutospacing="1" w:after="100" w:afterAutospacing="1" w:line="240" w:lineRule="auto"/>
        <w:divId w:val="163016923"/>
        <w:rPr>
          <w:rFonts w:ascii="Lato" w:eastAsia="Times New Roman" w:hAnsi="Lato"/>
        </w:rPr>
      </w:pPr>
      <w:r>
        <w:rPr>
          <w:rFonts w:ascii="Lato" w:eastAsia="Times New Roman" w:hAnsi="Lato"/>
        </w:rPr>
        <w:t xml:space="preserve">The outside employment or activity involves the use of the school district’s time, facilities, equipment and supplies or the use of the school district badge, uniform, business card or other evidence of office to give the board member or member </w:t>
      </w:r>
      <w:r>
        <w:rPr>
          <w:rFonts w:ascii="Lato" w:eastAsia="Times New Roman" w:hAnsi="Lato"/>
        </w:rPr>
        <w:t>of the board member’s immediate family an advantage or pecuniary benefit that is not available to other similarly situated members or classes of members of the general public.  For purposes of this section, a person is not “similarly situated” merely by be</w:t>
      </w:r>
      <w:r>
        <w:rPr>
          <w:rFonts w:ascii="Lato" w:eastAsia="Times New Roman" w:hAnsi="Lato"/>
        </w:rPr>
        <w:t>ing related to a board member.</w:t>
      </w:r>
    </w:p>
    <w:p w:rsidR="00000000" w:rsidRDefault="00CB26B0">
      <w:pPr>
        <w:numPr>
          <w:ilvl w:val="0"/>
          <w:numId w:val="1"/>
        </w:numPr>
        <w:spacing w:before="100" w:beforeAutospacing="1" w:after="100" w:afterAutospacing="1" w:line="240" w:lineRule="auto"/>
        <w:divId w:val="163016923"/>
        <w:rPr>
          <w:rFonts w:ascii="Lato" w:eastAsia="Times New Roman" w:hAnsi="Lato"/>
        </w:rPr>
      </w:pPr>
      <w:r>
        <w:rPr>
          <w:rFonts w:ascii="Lato" w:eastAsia="Times New Roman" w:hAnsi="Lato"/>
        </w:rPr>
        <w:t xml:space="preserve">The outside employment or activity involves the receipt of, promise of, or acceptance of </w:t>
      </w:r>
      <w:proofErr w:type="gramStart"/>
      <w:r>
        <w:rPr>
          <w:rFonts w:ascii="Lato" w:eastAsia="Times New Roman" w:hAnsi="Lato"/>
        </w:rPr>
        <w:t>money  or</w:t>
      </w:r>
      <w:proofErr w:type="gramEnd"/>
      <w:r>
        <w:rPr>
          <w:rFonts w:ascii="Lato" w:eastAsia="Times New Roman" w:hAnsi="Lato"/>
        </w:rPr>
        <w:t xml:space="preserve"> other consideration by the board member or a member of the board member’s immediate family from anyone other than the state or</w:t>
      </w:r>
      <w:r>
        <w:rPr>
          <w:rFonts w:ascii="Lato" w:eastAsia="Times New Roman" w:hAnsi="Lato"/>
        </w:rPr>
        <w:t xml:space="preserve"> the school district for the performance of any act that the board member would be required or expected to perform as part of the board member’s regular duties or during the hours in which the board member performs service or work for the school district.</w:t>
      </w:r>
    </w:p>
    <w:p w:rsidR="00000000" w:rsidRDefault="00CB26B0">
      <w:pPr>
        <w:numPr>
          <w:ilvl w:val="0"/>
          <w:numId w:val="1"/>
        </w:numPr>
        <w:spacing w:before="100" w:beforeAutospacing="1" w:after="100" w:afterAutospacing="1" w:line="240" w:lineRule="auto"/>
        <w:divId w:val="163016923"/>
        <w:rPr>
          <w:rFonts w:ascii="Lato" w:eastAsia="Times New Roman" w:hAnsi="Lato"/>
        </w:rPr>
      </w:pPr>
      <w:r>
        <w:rPr>
          <w:rFonts w:ascii="Lato" w:eastAsia="Times New Roman" w:hAnsi="Lato"/>
        </w:rPr>
        <w:t>The outside employment or activity is subject to the official control, inspection, review, audit, or enforcement authority of the board member, during the performance of the board member’s duties of office or employment.</w:t>
      </w:r>
    </w:p>
    <w:p w:rsidR="00000000" w:rsidRDefault="00CB26B0">
      <w:pPr>
        <w:spacing w:after="0"/>
        <w:divId w:val="163016923"/>
        <w:rPr>
          <w:rFonts w:ascii="Lato" w:eastAsia="Times New Roman" w:hAnsi="Lato"/>
        </w:rPr>
      </w:pPr>
      <w:r>
        <w:rPr>
          <w:rFonts w:ascii="Lato" w:eastAsia="Times New Roman" w:hAnsi="Lato"/>
        </w:rPr>
        <w:t>If the outside employment or activi</w:t>
      </w:r>
      <w:r>
        <w:rPr>
          <w:rFonts w:ascii="Lato" w:eastAsia="Times New Roman" w:hAnsi="Lato"/>
        </w:rPr>
        <w:t xml:space="preserve">ty is employment or activity in (1) or (2) above, the board member must cease the employment of or activity.  If the activity or employment falls under (3), then the board member must: </w:t>
      </w:r>
    </w:p>
    <w:p w:rsidR="00000000" w:rsidRDefault="00CB26B0">
      <w:pPr>
        <w:numPr>
          <w:ilvl w:val="0"/>
          <w:numId w:val="2"/>
        </w:numPr>
        <w:spacing w:before="100" w:beforeAutospacing="1" w:after="100" w:afterAutospacing="1" w:line="240" w:lineRule="auto"/>
        <w:divId w:val="163016923"/>
        <w:rPr>
          <w:rFonts w:ascii="Lato" w:eastAsia="Times New Roman" w:hAnsi="Lato"/>
        </w:rPr>
      </w:pPr>
      <w:r>
        <w:rPr>
          <w:rFonts w:ascii="Lato" w:eastAsia="Times New Roman" w:hAnsi="Lato"/>
        </w:rPr>
        <w:t>Cease the outside employment or activity; or;</w:t>
      </w:r>
    </w:p>
    <w:p w:rsidR="00000000" w:rsidRDefault="00CB26B0">
      <w:pPr>
        <w:numPr>
          <w:ilvl w:val="0"/>
          <w:numId w:val="2"/>
        </w:numPr>
        <w:spacing w:before="100" w:beforeAutospacing="1" w:after="100" w:afterAutospacing="1" w:line="240" w:lineRule="auto"/>
        <w:divId w:val="163016923"/>
        <w:rPr>
          <w:rFonts w:ascii="Lato" w:eastAsia="Times New Roman" w:hAnsi="Lato"/>
        </w:rPr>
      </w:pPr>
      <w:r>
        <w:rPr>
          <w:rFonts w:ascii="Lato" w:eastAsia="Times New Roman" w:hAnsi="Lato"/>
        </w:rPr>
        <w:lastRenderedPageBreak/>
        <w:t>Publicly disclose the ex</w:t>
      </w:r>
      <w:r>
        <w:rPr>
          <w:rFonts w:ascii="Lato" w:eastAsia="Times New Roman" w:hAnsi="Lato"/>
        </w:rPr>
        <w:t>istence of the conflict and refrain from taking any official action or performing any official duty that would detrimentally affect or create a benefit for the outside employment or activity.  Official action or official duty includes, but is not limited t</w:t>
      </w:r>
      <w:r>
        <w:rPr>
          <w:rFonts w:ascii="Lato" w:eastAsia="Times New Roman" w:hAnsi="Lato"/>
        </w:rPr>
        <w:t>o, participating in any vote, taking affirmative action to influence any vote, determining the facts or law in a contested case or rulemaking proceeding, conducting any inspection, or providing any other official service or thing that is not available gene</w:t>
      </w:r>
      <w:r>
        <w:rPr>
          <w:rFonts w:ascii="Lato" w:eastAsia="Times New Roman" w:hAnsi="Lato"/>
        </w:rPr>
        <w:t>rally to members of the public in order to further the interests of the outside employment or activity.</w:t>
      </w:r>
    </w:p>
    <w:p w:rsidR="00000000" w:rsidRDefault="00CB26B0">
      <w:pPr>
        <w:spacing w:after="0"/>
        <w:divId w:val="163016923"/>
        <w:rPr>
          <w:rFonts w:ascii="Lato" w:eastAsia="Times New Roman" w:hAnsi="Lato"/>
        </w:rPr>
      </w:pPr>
      <w:r>
        <w:rPr>
          <w:rFonts w:ascii="Lato" w:eastAsia="Times New Roman" w:hAnsi="Lato"/>
        </w:rPr>
        <w:t>When procurement is supported by Federal Child Nutrition funds, board members will not participate in the selection, award, or administration of a contr</w:t>
      </w:r>
      <w:r>
        <w:rPr>
          <w:rFonts w:ascii="Lato" w:eastAsia="Times New Roman" w:hAnsi="Lato"/>
        </w:rPr>
        <w:t xml:space="preserve">act if there is a real or apparent conflict of interest in the contract. Contract, for purposes of this paragraph, includes a contract where the board member, board member’s immediate family, partner, or a non-school district employer of these individuals </w:t>
      </w:r>
      <w:r>
        <w:rPr>
          <w:rFonts w:ascii="Lato" w:eastAsia="Times New Roman" w:hAnsi="Lato"/>
        </w:rPr>
        <w:t>is a party to the contract. </w:t>
      </w:r>
      <w:r>
        <w:rPr>
          <w:rFonts w:ascii="Lato" w:eastAsia="Times New Roman" w:hAnsi="Lato"/>
        </w:rPr>
        <w:br/>
      </w:r>
      <w:r>
        <w:rPr>
          <w:rFonts w:ascii="Lato" w:eastAsia="Times New Roman" w:hAnsi="Lato"/>
        </w:rPr>
        <w:br/>
        <w:t>It is the responsibility of each board member to be aware of and take the action necessary to eliminate a potential conflict of interest should it arise.</w:t>
      </w:r>
      <w:r>
        <w:rPr>
          <w:rFonts w:ascii="Lato" w:eastAsia="Times New Roman" w:hAnsi="Lato"/>
        </w:rPr>
        <w:br/>
        <w:t xml:space="preserve">  </w:t>
      </w:r>
    </w:p>
    <w:p w:rsidR="00000000" w:rsidRDefault="00CB26B0">
      <w:pPr>
        <w:shd w:val="clear" w:color="auto" w:fill="EEEEEE"/>
        <w:divId w:val="734007028"/>
        <w:rPr>
          <w:rFonts w:ascii="Lato" w:eastAsia="Times New Roman" w:hAnsi="Lato"/>
        </w:rPr>
      </w:pPr>
      <w:r>
        <w:rPr>
          <w:rStyle w:val="Strong"/>
          <w:rFonts w:ascii="Lato" w:eastAsia="Times New Roman" w:hAnsi="Lato"/>
          <w:i/>
          <w:iCs/>
        </w:rPr>
        <w:t xml:space="preserve">NOTE:  This policy reflects the Iowa law on board member conflict of </w:t>
      </w:r>
      <w:r>
        <w:rPr>
          <w:rStyle w:val="Strong"/>
          <w:rFonts w:ascii="Lato" w:eastAsia="Times New Roman" w:hAnsi="Lato"/>
          <w:i/>
          <w:iCs/>
        </w:rPr>
        <w:t>interest.  Board members can now make up to $20,000 from the district in a fiscal year, however boards can choose to set a limit below $20,000 if the board believes a lower amount would be more appropriate for their community. There is no longer a prohibit</w:t>
      </w:r>
      <w:r>
        <w:rPr>
          <w:rStyle w:val="Strong"/>
          <w:rFonts w:ascii="Lato" w:eastAsia="Times New Roman" w:hAnsi="Lato"/>
          <w:i/>
          <w:iCs/>
        </w:rPr>
        <w:t>ion on the employment of a spouse of a board member. Because of this removal, boards have little discretion regarding the employment of board members’ spouses.</w:t>
      </w:r>
      <w:r>
        <w:rPr>
          <w:rFonts w:ascii="Lato" w:eastAsia="Times New Roman" w:hAnsi="Lato"/>
        </w:rPr>
        <w:t xml:space="preserve">  </w:t>
      </w:r>
    </w:p>
    <w:p w:rsidR="00000000" w:rsidRDefault="00CB26B0">
      <w:pPr>
        <w:divId w:val="163016923"/>
        <w:rPr>
          <w:rFonts w:ascii="Lato" w:eastAsia="Times New Roman" w:hAnsi="Lato"/>
        </w:rPr>
      </w:pPr>
      <w:r>
        <w:rPr>
          <w:rFonts w:ascii="Lato" w:eastAsia="Times New Roman" w:hAnsi="Lato"/>
        </w:rPr>
        <w:br/>
      </w:r>
      <w:r>
        <w:rPr>
          <w:rFonts w:ascii="Lato" w:eastAsia="Times New Roman" w:hAnsi="Lato"/>
        </w:rPr>
        <w:br/>
      </w:r>
      <w:r>
        <w:rPr>
          <w:rFonts w:ascii="Lato" w:eastAsia="Times New Roman" w:hAnsi="Lato"/>
        </w:rPr>
        <w:br/>
        <w:t xml:space="preserve">  </w:t>
      </w:r>
    </w:p>
    <w:tbl>
      <w:tblPr>
        <w:tblW w:w="10500" w:type="dxa"/>
        <w:tblCellSpacing w:w="0" w:type="dxa"/>
        <w:tblCellMar>
          <w:top w:w="45" w:type="dxa"/>
          <w:left w:w="45" w:type="dxa"/>
          <w:bottom w:w="45" w:type="dxa"/>
          <w:right w:w="45" w:type="dxa"/>
        </w:tblCellMar>
        <w:tblLook w:val="04A0" w:firstRow="1" w:lastRow="0" w:firstColumn="1" w:lastColumn="0" w:noHBand="0" w:noVBand="1"/>
      </w:tblPr>
      <w:tblGrid>
        <w:gridCol w:w="1875"/>
        <w:gridCol w:w="8625"/>
      </w:tblGrid>
      <w:tr w:rsidR="00000000">
        <w:trPr>
          <w:divId w:val="163016923"/>
          <w:tblCellSpacing w:w="0" w:type="dxa"/>
        </w:trPr>
        <w:tc>
          <w:tcPr>
            <w:tcW w:w="1875" w:type="dxa"/>
            <w:hideMark/>
          </w:tcPr>
          <w:p w:rsidR="00000000" w:rsidRDefault="00CB26B0">
            <w:pPr>
              <w:rPr>
                <w:rFonts w:ascii="Lato" w:eastAsia="Times New Roman" w:hAnsi="Lato"/>
              </w:rPr>
            </w:pPr>
            <w:r>
              <w:rPr>
                <w:rFonts w:ascii="Lato" w:eastAsia="Times New Roman" w:hAnsi="Lato"/>
              </w:rPr>
              <w:t>Legal Reference:</w:t>
            </w:r>
          </w:p>
        </w:tc>
        <w:tc>
          <w:tcPr>
            <w:tcW w:w="0" w:type="auto"/>
            <w:hideMark/>
          </w:tcPr>
          <w:p w:rsidR="00000000" w:rsidRDefault="00CB26B0">
            <w:pPr>
              <w:rPr>
                <w:rFonts w:ascii="Lato" w:eastAsia="Times New Roman" w:hAnsi="Lato"/>
              </w:rPr>
            </w:pPr>
            <w:r>
              <w:rPr>
                <w:rFonts w:ascii="Lato" w:eastAsia="Times New Roman" w:hAnsi="Lato"/>
              </w:rPr>
              <w:t>22 C.F.R. § 518.42. </w:t>
            </w:r>
            <w:r>
              <w:rPr>
                <w:rFonts w:ascii="Lato" w:eastAsia="Times New Roman" w:hAnsi="Lato"/>
              </w:rPr>
              <w:br/>
              <w:t>Iowa Code §§ 68B; 71.1; 277.27; 279.7A; 301.28.</w:t>
            </w:r>
          </w:p>
        </w:tc>
      </w:tr>
    </w:tbl>
    <w:p w:rsidR="00000000" w:rsidRDefault="00CB26B0">
      <w:pPr>
        <w:divId w:val="163016923"/>
        <w:rPr>
          <w:rFonts w:eastAsia="Times New Roman"/>
        </w:rPr>
      </w:pPr>
    </w:p>
    <w:p w:rsidR="000641FC" w:rsidRDefault="000641FC">
      <w:pPr>
        <w:pBdr>
          <w:bottom w:val="single" w:sz="5" w:space="1" w:color="auto"/>
        </w:pBdr>
      </w:pPr>
    </w:p>
    <w:tbl>
      <w:tblPr>
        <w:tblW w:w="9993" w:type="dxa"/>
        <w:tblInd w:w="10" w:type="dxa"/>
        <w:tblCellMar>
          <w:left w:w="10" w:type="dxa"/>
          <w:right w:w="10" w:type="dxa"/>
        </w:tblCellMar>
        <w:tblLook w:val="0000" w:firstRow="0" w:lastRow="0" w:firstColumn="0" w:lastColumn="0" w:noHBand="0" w:noVBand="0"/>
      </w:tblPr>
      <w:tblGrid>
        <w:gridCol w:w="4023"/>
        <w:gridCol w:w="5970"/>
      </w:tblGrid>
      <w:tr w:rsidR="000641FC">
        <w:tblPrEx>
          <w:tblCellMar>
            <w:top w:w="0" w:type="dxa"/>
            <w:bottom w:w="0" w:type="dxa"/>
          </w:tblCellMar>
        </w:tblPrEx>
        <w:tc>
          <w:tcPr>
            <w:tcW w:w="4017" w:type="dxa"/>
          </w:tcPr>
          <w:p w:rsidR="000641FC" w:rsidRDefault="00CB26B0">
            <w:pPr>
              <w:spacing w:after="0"/>
            </w:pPr>
            <w:r>
              <w:rPr>
                <w:rFonts w:ascii="Lato Black"/>
                <w:b/>
              </w:rPr>
              <w:t>I.C. Iowa Code</w:t>
            </w:r>
          </w:p>
        </w:tc>
        <w:tc>
          <w:tcPr>
            <w:tcW w:w="5961" w:type="dxa"/>
          </w:tcPr>
          <w:p w:rsidR="000641FC" w:rsidRDefault="00CB26B0">
            <w:pPr>
              <w:spacing w:after="0"/>
            </w:pPr>
            <w:r>
              <w:rPr>
                <w:rFonts w:ascii="Lato Black"/>
                <w:b/>
              </w:rPr>
              <w:t>Description</w:t>
            </w:r>
          </w:p>
        </w:tc>
      </w:tr>
      <w:tr w:rsidR="000641FC">
        <w:tblPrEx>
          <w:tblCellMar>
            <w:top w:w="0" w:type="dxa"/>
            <w:bottom w:w="0" w:type="dxa"/>
          </w:tblCellMar>
        </w:tblPrEx>
        <w:tc>
          <w:tcPr>
            <w:tcW w:w="4017" w:type="dxa"/>
          </w:tcPr>
          <w:p w:rsidR="000641FC" w:rsidRDefault="00CB26B0">
            <w:pPr>
              <w:spacing w:after="0"/>
            </w:pPr>
            <w:r>
              <w:rPr>
                <w:rFonts w:ascii="Lato"/>
              </w:rPr>
              <w:t xml:space="preserve">Iowa Code  </w:t>
            </w:r>
            <w:r>
              <w:rPr>
                <w:rFonts w:ascii="Lato"/>
              </w:rPr>
              <w:t>§</w:t>
            </w:r>
            <w:r>
              <w:rPr>
                <w:rFonts w:ascii="Lato"/>
              </w:rPr>
              <w:t xml:space="preserve"> 277.27</w:t>
            </w:r>
          </w:p>
        </w:tc>
        <w:tc>
          <w:tcPr>
            <w:tcW w:w="5961" w:type="dxa"/>
          </w:tcPr>
          <w:p w:rsidR="000641FC" w:rsidRDefault="00CB26B0">
            <w:hyperlink r:id="rId5" w:docLocation="https://www.legis.iowa.gov/docs/code/277.27.pdf">
              <w:r>
                <w:rPr>
                  <w:rFonts w:ascii="Lato"/>
                  <w:color w:val="0563C1" w:themeColor="hyperlink"/>
                  <w:u w:val="single"/>
                </w:rPr>
                <w:t>School Elections - Qualifications</w:t>
              </w:r>
            </w:hyperlink>
          </w:p>
        </w:tc>
      </w:tr>
      <w:tr w:rsidR="000641FC">
        <w:tblPrEx>
          <w:tblCellMar>
            <w:top w:w="0" w:type="dxa"/>
            <w:bottom w:w="0" w:type="dxa"/>
          </w:tblCellMar>
        </w:tblPrEx>
        <w:tc>
          <w:tcPr>
            <w:tcW w:w="4017" w:type="dxa"/>
          </w:tcPr>
          <w:p w:rsidR="000641FC" w:rsidRDefault="00CB26B0">
            <w:pPr>
              <w:spacing w:after="0"/>
            </w:pPr>
            <w:r>
              <w:rPr>
                <w:rFonts w:ascii="Lato"/>
              </w:rPr>
              <w:t xml:space="preserve">Iowa Code  </w:t>
            </w:r>
            <w:r>
              <w:rPr>
                <w:rFonts w:ascii="Lato"/>
              </w:rPr>
              <w:t>§</w:t>
            </w:r>
            <w:r>
              <w:rPr>
                <w:rFonts w:ascii="Lato"/>
              </w:rPr>
              <w:t xml:space="preserve"> 279.7A</w:t>
            </w:r>
          </w:p>
        </w:tc>
        <w:tc>
          <w:tcPr>
            <w:tcW w:w="5961" w:type="dxa"/>
          </w:tcPr>
          <w:p w:rsidR="000641FC" w:rsidRDefault="00CB26B0">
            <w:hyperlink r:id="rId6" w:docLocation="https://www.legis.iowa.gov/docs/code/279.7A.pdf">
              <w:r>
                <w:rPr>
                  <w:rFonts w:ascii="Lato"/>
                  <w:color w:val="0563C1" w:themeColor="hyperlink"/>
                  <w:u w:val="single"/>
                </w:rPr>
                <w:t>Directors - Powers and Duties - Public Contracts/Exceptions</w:t>
              </w:r>
            </w:hyperlink>
          </w:p>
        </w:tc>
      </w:tr>
      <w:tr w:rsidR="000641FC">
        <w:tblPrEx>
          <w:tblCellMar>
            <w:top w:w="0" w:type="dxa"/>
            <w:bottom w:w="0" w:type="dxa"/>
          </w:tblCellMar>
        </w:tblPrEx>
        <w:tc>
          <w:tcPr>
            <w:tcW w:w="4017" w:type="dxa"/>
          </w:tcPr>
          <w:p w:rsidR="000641FC" w:rsidRDefault="00CB26B0">
            <w:pPr>
              <w:spacing w:after="0"/>
            </w:pPr>
            <w:r>
              <w:rPr>
                <w:rFonts w:ascii="Lato"/>
              </w:rPr>
              <w:t xml:space="preserve">Iowa Code  </w:t>
            </w:r>
            <w:r>
              <w:rPr>
                <w:rFonts w:ascii="Lato"/>
              </w:rPr>
              <w:t>§</w:t>
            </w:r>
            <w:r>
              <w:rPr>
                <w:rFonts w:ascii="Lato"/>
              </w:rPr>
              <w:t xml:space="preserve"> 301.28</w:t>
            </w:r>
          </w:p>
        </w:tc>
        <w:tc>
          <w:tcPr>
            <w:tcW w:w="5961" w:type="dxa"/>
          </w:tcPr>
          <w:p w:rsidR="000641FC" w:rsidRDefault="00CB26B0">
            <w:hyperlink r:id="rId7" w:docLocation="https://www.legis.iowa.gov/docs/code/301.28.pdf">
              <w:r>
                <w:rPr>
                  <w:rFonts w:ascii="Lato"/>
                  <w:color w:val="0563C1" w:themeColor="hyperlink"/>
                  <w:u w:val="single"/>
                </w:rPr>
                <w:t>Textbooks - Officers and Teachers as Agents</w:t>
              </w:r>
            </w:hyperlink>
          </w:p>
        </w:tc>
      </w:tr>
      <w:tr w:rsidR="000641FC">
        <w:tblPrEx>
          <w:tblCellMar>
            <w:top w:w="0" w:type="dxa"/>
            <w:bottom w:w="0" w:type="dxa"/>
          </w:tblCellMar>
        </w:tblPrEx>
        <w:tc>
          <w:tcPr>
            <w:tcW w:w="4017" w:type="dxa"/>
          </w:tcPr>
          <w:p w:rsidR="000641FC" w:rsidRDefault="00CB26B0">
            <w:pPr>
              <w:spacing w:after="0"/>
            </w:pPr>
            <w:r>
              <w:rPr>
                <w:rFonts w:ascii="Lato"/>
              </w:rPr>
              <w:t xml:space="preserve">Iowa Code  </w:t>
            </w:r>
            <w:r>
              <w:rPr>
                <w:rFonts w:ascii="Lato"/>
              </w:rPr>
              <w:t>§</w:t>
            </w:r>
            <w:r>
              <w:rPr>
                <w:rFonts w:ascii="Lato"/>
              </w:rPr>
              <w:t xml:space="preserve"> 68B</w:t>
            </w:r>
          </w:p>
        </w:tc>
        <w:tc>
          <w:tcPr>
            <w:tcW w:w="5961" w:type="dxa"/>
          </w:tcPr>
          <w:p w:rsidR="000641FC" w:rsidRDefault="00CB26B0">
            <w:hyperlink r:id="rId8" w:docLocation="https://www.legis.iowa.gov/docs/code/68B.pdf">
              <w:r>
                <w:rPr>
                  <w:rFonts w:ascii="Lato"/>
                  <w:color w:val="0563C1" w:themeColor="hyperlink"/>
                  <w:u w:val="single"/>
                </w:rPr>
                <w:t>Government Ethics</w:t>
              </w:r>
              <w:r>
                <w:rPr>
                  <w:rFonts w:ascii="Lato"/>
                  <w:color w:val="0563C1" w:themeColor="hyperlink"/>
                  <w:u w:val="single"/>
                </w:rPr>
                <w:t xml:space="preserve"> and Lobbying</w:t>
              </w:r>
            </w:hyperlink>
          </w:p>
        </w:tc>
      </w:tr>
      <w:tr w:rsidR="000641FC">
        <w:tblPrEx>
          <w:tblCellMar>
            <w:top w:w="0" w:type="dxa"/>
            <w:bottom w:w="0" w:type="dxa"/>
          </w:tblCellMar>
        </w:tblPrEx>
        <w:tc>
          <w:tcPr>
            <w:tcW w:w="4017" w:type="dxa"/>
          </w:tcPr>
          <w:p w:rsidR="000641FC" w:rsidRDefault="00CB26B0">
            <w:pPr>
              <w:spacing w:after="0"/>
            </w:pPr>
            <w:r>
              <w:rPr>
                <w:rFonts w:ascii="Lato"/>
              </w:rPr>
              <w:t xml:space="preserve">Iowa Code  </w:t>
            </w:r>
            <w:r>
              <w:rPr>
                <w:rFonts w:ascii="Lato"/>
              </w:rPr>
              <w:t>§</w:t>
            </w:r>
            <w:r>
              <w:rPr>
                <w:rFonts w:ascii="Lato"/>
              </w:rPr>
              <w:t xml:space="preserve"> 71</w:t>
            </w:r>
          </w:p>
        </w:tc>
        <w:tc>
          <w:tcPr>
            <w:tcW w:w="5961" w:type="dxa"/>
          </w:tcPr>
          <w:p w:rsidR="000641FC" w:rsidRDefault="00CB26B0">
            <w:hyperlink r:id="rId9" w:docLocation="https://www.legis.iowa.gov/docs/code/71.pdf">
              <w:r>
                <w:rPr>
                  <w:rFonts w:ascii="Lato"/>
                  <w:color w:val="0563C1" w:themeColor="hyperlink"/>
                  <w:u w:val="single"/>
                </w:rPr>
                <w:t>Nepotism</w:t>
              </w:r>
            </w:hyperlink>
          </w:p>
        </w:tc>
      </w:tr>
      <w:tr w:rsidR="000641FC">
        <w:tblPrEx>
          <w:tblCellMar>
            <w:top w:w="0" w:type="dxa"/>
            <w:bottom w:w="0" w:type="dxa"/>
          </w:tblCellMar>
        </w:tblPrEx>
        <w:tc>
          <w:tcPr>
            <w:tcW w:w="4017" w:type="dxa"/>
          </w:tcPr>
          <w:p w:rsidR="000641FC" w:rsidRDefault="00CB26B0">
            <w:pPr>
              <w:spacing w:after="0"/>
            </w:pPr>
            <w:r>
              <w:rPr>
                <w:rFonts w:ascii="Lato Black"/>
                <w:b/>
              </w:rPr>
              <w:t>C.F.R. - Code of Federal Regulations</w:t>
            </w:r>
          </w:p>
        </w:tc>
        <w:tc>
          <w:tcPr>
            <w:tcW w:w="5961" w:type="dxa"/>
          </w:tcPr>
          <w:p w:rsidR="000641FC" w:rsidRDefault="00CB26B0">
            <w:pPr>
              <w:spacing w:after="0"/>
            </w:pPr>
            <w:r>
              <w:rPr>
                <w:rFonts w:ascii="Lato Black"/>
                <w:b/>
              </w:rPr>
              <w:t>Description</w:t>
            </w:r>
          </w:p>
        </w:tc>
      </w:tr>
      <w:tr w:rsidR="000641FC">
        <w:tblPrEx>
          <w:tblCellMar>
            <w:top w:w="0" w:type="dxa"/>
            <w:bottom w:w="0" w:type="dxa"/>
          </w:tblCellMar>
        </w:tblPrEx>
        <w:tc>
          <w:tcPr>
            <w:tcW w:w="4017" w:type="dxa"/>
          </w:tcPr>
          <w:p w:rsidR="000641FC" w:rsidRDefault="00CB26B0">
            <w:pPr>
              <w:spacing w:after="0"/>
            </w:pPr>
            <w:r>
              <w:rPr>
                <w:rFonts w:ascii="Lato"/>
              </w:rPr>
              <w:t xml:space="preserve">22 C.F.R. </w:t>
            </w:r>
            <w:r>
              <w:rPr>
                <w:rFonts w:ascii="Lato"/>
              </w:rPr>
              <w:t>§</w:t>
            </w:r>
            <w:r>
              <w:rPr>
                <w:rFonts w:ascii="Lato"/>
              </w:rPr>
              <w:t xml:space="preserve"> 518.42.</w:t>
            </w:r>
          </w:p>
        </w:tc>
        <w:tc>
          <w:tcPr>
            <w:tcW w:w="5961" w:type="dxa"/>
          </w:tcPr>
          <w:p w:rsidR="000641FC" w:rsidRDefault="00CB26B0">
            <w:hyperlink r:id="rId10" w:anchor="518.42" w:docLocation="https://www.ecfr.gov/current/title-22/chapter-V/part-518#518.42">
              <w:r>
                <w:rPr>
                  <w:rFonts w:ascii="Lato"/>
                  <w:color w:val="0563C1" w:themeColor="hyperlink"/>
                  <w:u w:val="single"/>
                </w:rPr>
                <w:t>Uniform Administrative Requirements - Codes of Conduct</w:t>
              </w:r>
            </w:hyperlink>
          </w:p>
        </w:tc>
      </w:tr>
    </w:tbl>
    <w:p w:rsidR="00000000" w:rsidRDefault="00CB26B0">
      <w:pPr>
        <w:shd w:val="clear" w:color="auto" w:fill="F9F9F9"/>
        <w:spacing w:line="480" w:lineRule="auto"/>
        <w:divId w:val="617488301"/>
        <w:rPr>
          <w:rFonts w:ascii="Lato Black" w:eastAsia="Times New Roman" w:hAnsi="Lato Black"/>
          <w:b/>
          <w:bCs/>
        </w:rPr>
      </w:pPr>
      <w:r>
        <w:rPr>
          <w:rFonts w:ascii="Lato Black" w:eastAsia="Times New Roman" w:hAnsi="Lato Black"/>
          <w:b/>
          <w:bCs/>
        </w:rPr>
        <w:t>Cross References</w:t>
      </w:r>
    </w:p>
    <w:tbl>
      <w:tblPr>
        <w:tblW w:w="9993" w:type="dxa"/>
        <w:tblInd w:w="10" w:type="dxa"/>
        <w:tblCellMar>
          <w:left w:w="10" w:type="dxa"/>
          <w:right w:w="10" w:type="dxa"/>
        </w:tblCellMar>
        <w:tblLook w:val="0000" w:firstRow="0" w:lastRow="0" w:firstColumn="0" w:lastColumn="0" w:noHBand="0" w:noVBand="0"/>
      </w:tblPr>
      <w:tblGrid>
        <w:gridCol w:w="4023"/>
        <w:gridCol w:w="5970"/>
      </w:tblGrid>
      <w:tr w:rsidR="000641FC">
        <w:tblPrEx>
          <w:tblCellMar>
            <w:top w:w="0" w:type="dxa"/>
            <w:bottom w:w="0" w:type="dxa"/>
          </w:tblCellMar>
        </w:tblPrEx>
        <w:tc>
          <w:tcPr>
            <w:tcW w:w="4017" w:type="dxa"/>
          </w:tcPr>
          <w:p w:rsidR="000641FC" w:rsidRDefault="00CB26B0">
            <w:pPr>
              <w:spacing w:after="0"/>
            </w:pPr>
            <w:r>
              <w:rPr>
                <w:rFonts w:ascii="Lato Black"/>
                <w:b/>
              </w:rPr>
              <w:t>Code</w:t>
            </w:r>
          </w:p>
        </w:tc>
        <w:tc>
          <w:tcPr>
            <w:tcW w:w="5961" w:type="dxa"/>
          </w:tcPr>
          <w:p w:rsidR="000641FC" w:rsidRDefault="00CB26B0">
            <w:pPr>
              <w:spacing w:after="0"/>
            </w:pPr>
            <w:r>
              <w:rPr>
                <w:rFonts w:ascii="Lato Black"/>
                <w:b/>
              </w:rPr>
              <w:t>Description</w:t>
            </w:r>
          </w:p>
        </w:tc>
      </w:tr>
      <w:tr w:rsidR="000641FC">
        <w:tblPrEx>
          <w:tblCellMar>
            <w:top w:w="0" w:type="dxa"/>
            <w:bottom w:w="0" w:type="dxa"/>
          </w:tblCellMar>
        </w:tblPrEx>
        <w:tc>
          <w:tcPr>
            <w:tcW w:w="4017" w:type="dxa"/>
          </w:tcPr>
          <w:p w:rsidR="000641FC" w:rsidRDefault="00CB26B0">
            <w:pPr>
              <w:spacing w:after="0"/>
            </w:pPr>
            <w:r>
              <w:rPr>
                <w:rFonts w:ascii="Lato"/>
              </w:rPr>
              <w:t>201</w:t>
            </w:r>
          </w:p>
        </w:tc>
        <w:tc>
          <w:tcPr>
            <w:tcW w:w="5961" w:type="dxa"/>
          </w:tcPr>
          <w:p w:rsidR="000641FC" w:rsidRDefault="00CB26B0">
            <w:hyperlink r:id="rId11" w:docLocation="https://simbli.eboardsolutions.com/Policy/ViewPolicy.aspx?S=36031104&amp;revid=p33slshBg4Ftbnl6NZ9izTZ9w==">
              <w:r>
                <w:rPr>
                  <w:rFonts w:ascii="Lato"/>
                  <w:color w:val="0563C1" w:themeColor="hyperlink"/>
                  <w:u w:val="single"/>
                </w:rPr>
                <w:t>Board of Directors' Election</w:t>
              </w:r>
              <w:r>
                <w:rPr>
                  <w:rFonts w:ascii="Lato"/>
                  <w:color w:val="0563C1" w:themeColor="hyperlink"/>
                  <w:u w:val="single"/>
                </w:rPr>
                <w:t>s</w:t>
              </w:r>
            </w:hyperlink>
          </w:p>
        </w:tc>
      </w:tr>
      <w:tr w:rsidR="000641FC">
        <w:tblPrEx>
          <w:tblCellMar>
            <w:top w:w="0" w:type="dxa"/>
            <w:bottom w:w="0" w:type="dxa"/>
          </w:tblCellMar>
        </w:tblPrEx>
        <w:tc>
          <w:tcPr>
            <w:tcW w:w="4017" w:type="dxa"/>
          </w:tcPr>
          <w:p w:rsidR="000641FC" w:rsidRDefault="00CB26B0">
            <w:pPr>
              <w:spacing w:after="0"/>
            </w:pPr>
            <w:r>
              <w:rPr>
                <w:rFonts w:ascii="Lato"/>
              </w:rPr>
              <w:t>202.01</w:t>
            </w:r>
          </w:p>
        </w:tc>
        <w:tc>
          <w:tcPr>
            <w:tcW w:w="5961" w:type="dxa"/>
          </w:tcPr>
          <w:p w:rsidR="000641FC" w:rsidRDefault="00CB26B0">
            <w:hyperlink r:id="rId12" w:docLocation="https://simbli.eboardsolutions.com/Policy/ViewPolicy.aspx?S=36031104&amp;revid=4DPKGlVexa3kGn48qf6eLQ==">
              <w:r>
                <w:rPr>
                  <w:rFonts w:ascii="Lato"/>
                  <w:color w:val="0563C1" w:themeColor="hyperlink"/>
                  <w:u w:val="single"/>
                </w:rPr>
                <w:t>Qualifications</w:t>
              </w:r>
            </w:hyperlink>
          </w:p>
        </w:tc>
      </w:tr>
      <w:tr w:rsidR="000641FC">
        <w:tblPrEx>
          <w:tblCellMar>
            <w:top w:w="0" w:type="dxa"/>
            <w:bottom w:w="0" w:type="dxa"/>
          </w:tblCellMar>
        </w:tblPrEx>
        <w:tc>
          <w:tcPr>
            <w:tcW w:w="4017" w:type="dxa"/>
          </w:tcPr>
          <w:p w:rsidR="000641FC" w:rsidRDefault="00CB26B0">
            <w:pPr>
              <w:spacing w:after="0"/>
            </w:pPr>
            <w:r>
              <w:rPr>
                <w:rFonts w:ascii="Lato"/>
              </w:rPr>
              <w:t>204</w:t>
            </w:r>
          </w:p>
        </w:tc>
        <w:tc>
          <w:tcPr>
            <w:tcW w:w="5961" w:type="dxa"/>
          </w:tcPr>
          <w:p w:rsidR="000641FC" w:rsidRDefault="00CB26B0">
            <w:hyperlink r:id="rId13" w:docLocation="https://simbli.eboardsolutions.com/Policy/ViewPolicy.aspx?S=36031104&amp;revid=5vwRNrn7k4slshwstH2vnuAiQ==">
              <w:r>
                <w:rPr>
                  <w:rFonts w:ascii="Lato"/>
                  <w:color w:val="0563C1" w:themeColor="hyperlink"/>
                  <w:u w:val="single"/>
                </w:rPr>
                <w:t>Code of Ethics (I, II)</w:t>
              </w:r>
            </w:hyperlink>
          </w:p>
        </w:tc>
      </w:tr>
      <w:tr w:rsidR="000641FC">
        <w:tblPrEx>
          <w:tblCellMar>
            <w:top w:w="0" w:type="dxa"/>
            <w:bottom w:w="0" w:type="dxa"/>
          </w:tblCellMar>
        </w:tblPrEx>
        <w:tc>
          <w:tcPr>
            <w:tcW w:w="4017" w:type="dxa"/>
          </w:tcPr>
          <w:p w:rsidR="000641FC" w:rsidRDefault="00CB26B0">
            <w:pPr>
              <w:spacing w:after="0"/>
            </w:pPr>
            <w:r>
              <w:rPr>
                <w:rFonts w:ascii="Lato"/>
              </w:rPr>
              <w:lastRenderedPageBreak/>
              <w:t>216.</w:t>
            </w:r>
            <w:r>
              <w:rPr>
                <w:rFonts w:ascii="Lato"/>
              </w:rPr>
              <w:t>03</w:t>
            </w:r>
          </w:p>
        </w:tc>
        <w:tc>
          <w:tcPr>
            <w:tcW w:w="5961" w:type="dxa"/>
          </w:tcPr>
          <w:p w:rsidR="000641FC" w:rsidRDefault="00CB26B0">
            <w:hyperlink r:id="rId14" w:docLocation="https://simbli.eboardsolutions.com/Policy/ViewPolicy.aspx?S=36031104&amp;revid=DIrczVQ5CK2aNMwslsh1dCMkw==">
              <w:r>
                <w:rPr>
                  <w:rFonts w:ascii="Lato"/>
                  <w:color w:val="0563C1" w:themeColor="hyperlink"/>
                  <w:u w:val="single"/>
                </w:rPr>
                <w:t>Board of Directors' Mem</w:t>
              </w:r>
              <w:r>
                <w:rPr>
                  <w:rFonts w:ascii="Lato"/>
                  <w:color w:val="0563C1" w:themeColor="hyperlink"/>
                  <w:u w:val="single"/>
                </w:rPr>
                <w:t>ber Compensation and Expenses (I, II)</w:t>
              </w:r>
            </w:hyperlink>
          </w:p>
        </w:tc>
      </w:tr>
      <w:tr w:rsidR="000641FC">
        <w:tblPrEx>
          <w:tblCellMar>
            <w:top w:w="0" w:type="dxa"/>
            <w:bottom w:w="0" w:type="dxa"/>
          </w:tblCellMar>
        </w:tblPrEx>
        <w:tc>
          <w:tcPr>
            <w:tcW w:w="4017" w:type="dxa"/>
          </w:tcPr>
          <w:p w:rsidR="000641FC" w:rsidRDefault="00CB26B0">
            <w:pPr>
              <w:spacing w:after="0"/>
            </w:pPr>
            <w:r>
              <w:rPr>
                <w:rFonts w:ascii="Lato"/>
              </w:rPr>
              <w:t>217</w:t>
            </w:r>
          </w:p>
        </w:tc>
        <w:tc>
          <w:tcPr>
            <w:tcW w:w="5961" w:type="dxa"/>
          </w:tcPr>
          <w:p w:rsidR="000641FC" w:rsidRDefault="00CB26B0">
            <w:hyperlink r:id="rId15" w:docLocation="https://simbli.eboardsolutions.com/Policy/ViewPolicy.aspx?S=36031104&amp;revid=NBxOWW6CR08TQqB8AtzSbQ==">
              <w:r>
                <w:rPr>
                  <w:rFonts w:ascii="Lato"/>
                  <w:color w:val="0563C1" w:themeColor="hyperlink"/>
                  <w:u w:val="single"/>
                </w:rPr>
                <w:t>Gifts to Board of Directors</w:t>
              </w:r>
            </w:hyperlink>
          </w:p>
        </w:tc>
      </w:tr>
      <w:tr w:rsidR="000641FC">
        <w:tblPrEx>
          <w:tblCellMar>
            <w:top w:w="0" w:type="dxa"/>
            <w:bottom w:w="0" w:type="dxa"/>
          </w:tblCellMar>
        </w:tblPrEx>
        <w:tc>
          <w:tcPr>
            <w:tcW w:w="4017" w:type="dxa"/>
          </w:tcPr>
          <w:p w:rsidR="000641FC" w:rsidRDefault="00CB26B0">
            <w:pPr>
              <w:spacing w:after="0"/>
            </w:pPr>
            <w:r>
              <w:rPr>
                <w:rFonts w:ascii="Lato"/>
              </w:rPr>
              <w:t>401.02</w:t>
            </w:r>
          </w:p>
        </w:tc>
        <w:tc>
          <w:tcPr>
            <w:tcW w:w="5961" w:type="dxa"/>
          </w:tcPr>
          <w:p w:rsidR="000641FC" w:rsidRDefault="00CB26B0">
            <w:hyperlink r:id="rId16" w:docLocation="https://simbli.eboardsolutions.com/Policy/ViewPolicy.aspx?S=36031104&amp;revid=uEjSjjnuwrsdsVEquAPLRQ==">
              <w:r>
                <w:rPr>
                  <w:rFonts w:ascii="Lato"/>
                  <w:color w:val="0563C1" w:themeColor="hyperlink"/>
                  <w:u w:val="single"/>
                </w:rPr>
                <w:t>Employee Conflict of Interest</w:t>
              </w:r>
            </w:hyperlink>
          </w:p>
        </w:tc>
      </w:tr>
      <w:tr w:rsidR="000641FC">
        <w:tblPrEx>
          <w:tblCellMar>
            <w:top w:w="0" w:type="dxa"/>
            <w:bottom w:w="0" w:type="dxa"/>
          </w:tblCellMar>
        </w:tblPrEx>
        <w:tc>
          <w:tcPr>
            <w:tcW w:w="4017" w:type="dxa"/>
          </w:tcPr>
          <w:p w:rsidR="000641FC" w:rsidRDefault="00CB26B0">
            <w:pPr>
              <w:spacing w:after="0"/>
            </w:pPr>
            <w:r>
              <w:rPr>
                <w:rFonts w:ascii="Lato"/>
              </w:rPr>
              <w:t>401.03</w:t>
            </w:r>
          </w:p>
        </w:tc>
        <w:tc>
          <w:tcPr>
            <w:tcW w:w="5961" w:type="dxa"/>
          </w:tcPr>
          <w:p w:rsidR="000641FC" w:rsidRDefault="00CB26B0">
            <w:hyperlink r:id="rId17" w:docLocation="https://simbli.eboardsolutions.com/Policy/ViewPolicy.aspx?S=36031104&amp;revid=eAGw3oleXTCM0haEl4EpLA==">
              <w:r>
                <w:rPr>
                  <w:rFonts w:ascii="Lato"/>
                  <w:color w:val="0563C1" w:themeColor="hyperlink"/>
                  <w:u w:val="single"/>
                </w:rPr>
                <w:t>Nepotism</w:t>
              </w:r>
            </w:hyperlink>
          </w:p>
        </w:tc>
      </w:tr>
    </w:tbl>
    <w:p w:rsidR="00CB26B0" w:rsidRDefault="00CB26B0"/>
    <w:sectPr w:rsidR="00CB26B0">
      <w:pgSz w:w="12240" w:h="15840"/>
      <w:pgMar w:top="617" w:right="1200" w:bottom="402" w:left="14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Black">
    <w:altName w:val="Times New Roman"/>
    <w:panose1 w:val="00000000000000000000"/>
    <w:charset w:val="00"/>
    <w:family w:val="roman"/>
    <w:notTrueType/>
    <w:pitch w:val="default"/>
  </w:font>
  <w:font w:name="Lato">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F0130"/>
    <w:multiLevelType w:val="multilevel"/>
    <w:tmpl w:val="6186A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D53BE3"/>
    <w:multiLevelType w:val="multilevel"/>
    <w:tmpl w:val="5E7E7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1FC"/>
    <w:rsid w:val="000641FC"/>
    <w:rsid w:val="002A21E4"/>
    <w:rsid w:val="00CB2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DD25B"/>
  <w15:docId w15:val="{19C7CF48-61C5-4319-B9A7-9B7C717AE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16923">
      <w:bodyDiv w:val="1"/>
      <w:marLeft w:val="0"/>
      <w:marRight w:val="0"/>
      <w:marTop w:val="0"/>
      <w:marBottom w:val="0"/>
      <w:divBdr>
        <w:top w:val="none" w:sz="0" w:space="0" w:color="auto"/>
        <w:left w:val="none" w:sz="0" w:space="0" w:color="auto"/>
        <w:bottom w:val="none" w:sz="0" w:space="0" w:color="auto"/>
        <w:right w:val="none" w:sz="0" w:space="0" w:color="auto"/>
      </w:divBdr>
      <w:divsChild>
        <w:div w:id="734007028">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966549263">
      <w:bodyDiv w:val="1"/>
      <w:marLeft w:val="0"/>
      <w:marRight w:val="0"/>
      <w:marTop w:val="0"/>
      <w:marBottom w:val="0"/>
      <w:divBdr>
        <w:top w:val="none" w:sz="0" w:space="0" w:color="auto"/>
        <w:left w:val="none" w:sz="0" w:space="0" w:color="auto"/>
        <w:bottom w:val="none" w:sz="0" w:space="0" w:color="auto"/>
        <w:right w:val="none" w:sz="0" w:space="0" w:color="auto"/>
      </w:divBdr>
      <w:divsChild>
        <w:div w:id="617488301">
          <w:marLeft w:val="0"/>
          <w:marRight w:val="0"/>
          <w:marTop w:val="15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docs/code/68B.pdf" TargetMode="External"/><Relationship Id="rId13" Type="http://schemas.openxmlformats.org/officeDocument/2006/relationships/hyperlink" Target="https://simbli.eboardsolutions.com/Policy/ViewPolicy.aspx?S=36031104&amp;revid=5vwRNrn7k4slshwstH2vnuAiQ=="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is.iowa.gov/docs/code/301.28.pdf" TargetMode="External"/><Relationship Id="rId12" Type="http://schemas.openxmlformats.org/officeDocument/2006/relationships/hyperlink" Target="https://simbli.eboardsolutions.com/Policy/ViewPolicy.aspx?S=36031104&amp;revid=4DPKGlVexa3kGn48qf6eLQ==" TargetMode="External"/><Relationship Id="rId17" Type="http://schemas.openxmlformats.org/officeDocument/2006/relationships/hyperlink" Target="https://simbli.eboardsolutions.com/Policy/ViewPolicy.aspx?S=36031104&amp;revid=eAGw3oleXTCM0haEl4EpLA==" TargetMode="External"/><Relationship Id="rId2" Type="http://schemas.openxmlformats.org/officeDocument/2006/relationships/styles" Target="styles.xml"/><Relationship Id="rId16" Type="http://schemas.openxmlformats.org/officeDocument/2006/relationships/hyperlink" Target="https://simbli.eboardsolutions.com/Policy/ViewPolicy.aspx?S=36031104&amp;revid=uEjSjjnuwrsdsVEquAPLRQ==" TargetMode="External"/><Relationship Id="rId1" Type="http://schemas.openxmlformats.org/officeDocument/2006/relationships/numbering" Target="numbering.xml"/><Relationship Id="rId6" Type="http://schemas.openxmlformats.org/officeDocument/2006/relationships/hyperlink" Target="https://www.legis.iowa.gov/docs/code/279.7A.pdf" TargetMode="External"/><Relationship Id="rId11" Type="http://schemas.openxmlformats.org/officeDocument/2006/relationships/hyperlink" Target="https://simbli.eboardsolutions.com/Policy/ViewPolicy.aspx?S=36031104&amp;revid=p33slshBg4Ftbnl6NZ9izTZ9w==" TargetMode="External"/><Relationship Id="rId5" Type="http://schemas.openxmlformats.org/officeDocument/2006/relationships/hyperlink" Target="https://www.legis.iowa.gov/docs/code/277.27.pdf" TargetMode="External"/><Relationship Id="rId15" Type="http://schemas.openxmlformats.org/officeDocument/2006/relationships/hyperlink" Target="https://simbli.eboardsolutions.com/Policy/ViewPolicy.aspx?S=36031104&amp;revid=NBxOWW6CR08TQqB8AtzSbQ==" TargetMode="External"/><Relationship Id="rId10" Type="http://schemas.openxmlformats.org/officeDocument/2006/relationships/hyperlink" Target="https://www.ecfr.gov/current/title-22/chapter-V/part-51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egis.iowa.gov/docs/code/71.pdf" TargetMode="External"/><Relationship Id="rId14" Type="http://schemas.openxmlformats.org/officeDocument/2006/relationships/hyperlink" Target="https://simbli.eboardsolutions.com/Policy/ViewPolicy.aspx?S=36031104&amp;revid=DIrczVQ5CK2aNMwslsh1dCMk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1330</Words>
  <Characters>7584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Heisdorffer</dc:creator>
  <cp:lastModifiedBy>Linda Heisdorffer</cp:lastModifiedBy>
  <cp:revision>2</cp:revision>
  <dcterms:created xsi:type="dcterms:W3CDTF">2024-02-14T19:46:00Z</dcterms:created>
  <dcterms:modified xsi:type="dcterms:W3CDTF">2024-02-14T19:46:00Z</dcterms:modified>
</cp:coreProperties>
</file>